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A6A1C" w14:textId="7602D447" w:rsidR="0054264B" w:rsidRPr="00363E58" w:rsidRDefault="001C0B11">
      <w:pPr>
        <w:rPr>
          <w:rFonts w:ascii="Aptos" w:hAnsi="Aptos"/>
          <w:sz w:val="24"/>
          <w:szCs w:val="24"/>
        </w:rPr>
      </w:pPr>
      <w:bookmarkStart w:id="0" w:name="_Hlk51763025"/>
      <w:r w:rsidRPr="00363E58">
        <w:rPr>
          <w:rFonts w:ascii="Aptos" w:hAnsi="Aptos"/>
          <w:sz w:val="24"/>
          <w:szCs w:val="24"/>
        </w:rPr>
        <w:t xml:space="preserve">Na podstawie </w:t>
      </w:r>
      <w:r w:rsidR="00383378" w:rsidRPr="00363E58">
        <w:rPr>
          <w:rFonts w:ascii="Aptos" w:hAnsi="Aptos"/>
          <w:sz w:val="24"/>
          <w:szCs w:val="24"/>
        </w:rPr>
        <w:t>§14 ust. 6 UCHWAŁY NR LXVII/1048/23 RADY MIASTA KOŁOBRZEG z dnia 29 listopada 2023 r. w sprawie zasad i trybu przeprowadzenia Budżetu Obywatelskiego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540"/>
        <w:gridCol w:w="2241"/>
        <w:gridCol w:w="4725"/>
        <w:gridCol w:w="6381"/>
      </w:tblGrid>
      <w:tr w:rsidR="00383378" w:rsidRPr="00363E58" w14:paraId="26528E66" w14:textId="77777777" w:rsidTr="007D32FF">
        <w:tc>
          <w:tcPr>
            <w:tcW w:w="480" w:type="dxa"/>
            <w:shd w:val="clear" w:color="auto" w:fill="D0CECE" w:themeFill="background2" w:themeFillShade="E6"/>
          </w:tcPr>
          <w:bookmarkEnd w:id="0"/>
          <w:p w14:paraId="2B5DC846" w14:textId="083C23A9" w:rsidR="00383378" w:rsidRPr="00363E58" w:rsidRDefault="00383378" w:rsidP="007554F3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Lp.</w:t>
            </w:r>
          </w:p>
        </w:tc>
        <w:tc>
          <w:tcPr>
            <w:tcW w:w="1935" w:type="dxa"/>
            <w:shd w:val="clear" w:color="auto" w:fill="D0CECE" w:themeFill="background2" w:themeFillShade="E6"/>
          </w:tcPr>
          <w:p w14:paraId="1555A76A" w14:textId="2E2DBAA3" w:rsidR="00383378" w:rsidRPr="00363E58" w:rsidRDefault="00383378" w:rsidP="007554F3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Numer sprawy</w:t>
            </w:r>
          </w:p>
        </w:tc>
        <w:tc>
          <w:tcPr>
            <w:tcW w:w="4878" w:type="dxa"/>
            <w:shd w:val="clear" w:color="auto" w:fill="D0CECE" w:themeFill="background2" w:themeFillShade="E6"/>
          </w:tcPr>
          <w:p w14:paraId="12044EEC" w14:textId="77777777" w:rsidR="00383378" w:rsidRPr="00363E58" w:rsidRDefault="00383378" w:rsidP="007554F3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 xml:space="preserve">Nazwa projektu </w:t>
            </w:r>
          </w:p>
        </w:tc>
        <w:tc>
          <w:tcPr>
            <w:tcW w:w="6594" w:type="dxa"/>
            <w:shd w:val="clear" w:color="auto" w:fill="D0CECE" w:themeFill="background2" w:themeFillShade="E6"/>
          </w:tcPr>
          <w:p w14:paraId="4A547D2A" w14:textId="16253971" w:rsidR="00383378" w:rsidRPr="00363E58" w:rsidRDefault="00383378" w:rsidP="007554F3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 xml:space="preserve">Uzasadnienie oceny negatywnej </w:t>
            </w:r>
          </w:p>
        </w:tc>
      </w:tr>
      <w:tr w:rsidR="001A5BA9" w:rsidRPr="00363E58" w14:paraId="72B6F965" w14:textId="77777777" w:rsidTr="007D32FF">
        <w:tc>
          <w:tcPr>
            <w:tcW w:w="480" w:type="dxa"/>
          </w:tcPr>
          <w:p w14:paraId="3963775B" w14:textId="73C1F3ED" w:rsidR="001A5BA9" w:rsidRPr="00363E58" w:rsidRDefault="001A5BA9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1935" w:type="dxa"/>
            <w:shd w:val="clear" w:color="auto" w:fill="auto"/>
          </w:tcPr>
          <w:p w14:paraId="37E6C024" w14:textId="3F288838" w:rsidR="001A5BA9" w:rsidRPr="00363E58" w:rsidRDefault="001A5BA9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PRO.153.2.2026.K</w:t>
            </w:r>
          </w:p>
        </w:tc>
        <w:tc>
          <w:tcPr>
            <w:tcW w:w="4878" w:type="dxa"/>
            <w:shd w:val="clear" w:color="auto" w:fill="auto"/>
          </w:tcPr>
          <w:p w14:paraId="2A65F601" w14:textId="7980934F" w:rsidR="001A5BA9" w:rsidRPr="00363E58" w:rsidRDefault="001A5BA9" w:rsidP="007D018F">
            <w:pPr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</w:pPr>
            <w:r w:rsidRPr="00363E58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OCR Park NINJA Kołobrzeg</w:t>
            </w:r>
          </w:p>
        </w:tc>
        <w:tc>
          <w:tcPr>
            <w:tcW w:w="6594" w:type="dxa"/>
            <w:shd w:val="clear" w:color="auto" w:fill="auto"/>
          </w:tcPr>
          <w:p w14:paraId="249B3E6F" w14:textId="18AEC092" w:rsidR="001A5BA9" w:rsidRPr="00363E58" w:rsidRDefault="001A5BA9" w:rsidP="001B502E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Dla wskazanej we wniosku lokalizacji ul. Wylotowa Plac zabaw Maja planowane jest podjęcie kompleksowych działań modernizacyjnych</w:t>
            </w:r>
            <w:r w:rsidR="00531828" w:rsidRPr="00363E58">
              <w:rPr>
                <w:rFonts w:ascii="Aptos" w:hAnsi="Aptos"/>
                <w:sz w:val="24"/>
                <w:szCs w:val="24"/>
              </w:rPr>
              <w:t>. Zadanie pn. „Teren rekreacyjny na Placu Maja” ujęte zostało w Wieloletnim Planie Inwestycyjnym na lata 2026-2031</w:t>
            </w:r>
            <w:r w:rsidRPr="00363E58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363E58">
              <w:rPr>
                <w:rFonts w:ascii="Aptos" w:hAnsi="Aptos"/>
                <w:sz w:val="24"/>
                <w:szCs w:val="24"/>
              </w:rPr>
              <w:t>WiR</w:t>
            </w:r>
            <w:proofErr w:type="spellEnd"/>
            <w:r w:rsidRPr="00363E58">
              <w:rPr>
                <w:rFonts w:ascii="Aptos" w:hAnsi="Aptos"/>
                <w:sz w:val="24"/>
                <w:szCs w:val="24"/>
              </w:rPr>
              <w:t>)</w:t>
            </w:r>
          </w:p>
        </w:tc>
      </w:tr>
      <w:tr w:rsidR="00383378" w:rsidRPr="00363E58" w14:paraId="598AA3AA" w14:textId="77777777" w:rsidTr="007D32FF">
        <w:tc>
          <w:tcPr>
            <w:tcW w:w="480" w:type="dxa"/>
          </w:tcPr>
          <w:p w14:paraId="6598A75B" w14:textId="45841210" w:rsidR="00383378" w:rsidRPr="00363E58" w:rsidRDefault="001A5BA9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1935" w:type="dxa"/>
            <w:shd w:val="clear" w:color="auto" w:fill="auto"/>
          </w:tcPr>
          <w:p w14:paraId="765AD41A" w14:textId="22E4849C" w:rsidR="00383378" w:rsidRPr="00363E58" w:rsidRDefault="00E53790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PRO.153. 4.2026.K</w:t>
            </w:r>
          </w:p>
        </w:tc>
        <w:tc>
          <w:tcPr>
            <w:tcW w:w="4878" w:type="dxa"/>
            <w:shd w:val="clear" w:color="auto" w:fill="auto"/>
          </w:tcPr>
          <w:p w14:paraId="1587D81E" w14:textId="1144F030" w:rsidR="00383378" w:rsidRPr="00363E58" w:rsidRDefault="00E53790" w:rsidP="007D018F">
            <w:pPr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</w:pPr>
            <w:r w:rsidRPr="00363E58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Kołobrzeg Sportowa Młodzież Systemowe wsparcie sportu i pozyskiwania funduszy — kompleksowa strategia transformacji lokalnego sportu w mieście, które ma potencjał, by stać się liderem regionu</w:t>
            </w:r>
          </w:p>
        </w:tc>
        <w:tc>
          <w:tcPr>
            <w:tcW w:w="6594" w:type="dxa"/>
            <w:shd w:val="clear" w:color="auto" w:fill="auto"/>
          </w:tcPr>
          <w:p w14:paraId="60005735" w14:textId="0AB19250" w:rsidR="00951765" w:rsidRPr="00363E58" w:rsidRDefault="001F2E03" w:rsidP="001B502E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Przedstawiona koncepcja ma charakter ogólny i w obecnej formie budzi istotne wątpliwości zarówno pod względem efektywności wydatkow</w:t>
            </w:r>
            <w:r w:rsidR="00D675FE" w:rsidRPr="00363E58">
              <w:rPr>
                <w:rFonts w:ascii="Aptos" w:hAnsi="Aptos"/>
                <w:sz w:val="24"/>
                <w:szCs w:val="24"/>
              </w:rPr>
              <w:t>ania środków publicznych jak i realności</w:t>
            </w:r>
            <w:r w:rsidRPr="00363E58">
              <w:rPr>
                <w:rFonts w:ascii="Aptos" w:hAnsi="Aptos"/>
                <w:sz w:val="24"/>
                <w:szCs w:val="24"/>
              </w:rPr>
              <w:t xml:space="preserve"> osiągnięcia zakładanych rezultatów. W pierwszej kolejności należy zwrócić uwagę na bardzo wysoki koszt funkcjonowania Centrum Wsparcia Klubów Sportowych </w:t>
            </w:r>
            <w:r w:rsidR="001B502E" w:rsidRPr="00363E58">
              <w:rPr>
                <w:rFonts w:ascii="Aptos" w:hAnsi="Aptos"/>
                <w:sz w:val="24"/>
                <w:szCs w:val="24"/>
              </w:rPr>
              <w:t xml:space="preserve">wynoszący 600 000 zł co stanowi 60% całkowitego budżetu. Oznacza to, że zasadnicza część środków zostałaby przeznaczona na obsługę administracyjną, a nie bezpośrednie wsparcie działalności sportowej, zawodników czy klubów. Taka struktura wydatków budzi poważne wątpliwości co racjonalności i celowości realizacji projektu. Projekt nie zawiera również konkretnych mierzalnych wskaźników efektywności. Brakuje informacji dotyczącej m.in. planowanej wysokości pozyskanych </w:t>
            </w:r>
            <w:r w:rsidR="00951765" w:rsidRPr="00363E58">
              <w:rPr>
                <w:rFonts w:ascii="Aptos" w:hAnsi="Aptos"/>
                <w:sz w:val="24"/>
                <w:szCs w:val="24"/>
              </w:rPr>
              <w:t>środków zewnętrznych , liczby klubów które realnie skorzystają z systemu wsparcia, a także wymiernych rezultatów</w:t>
            </w:r>
            <w:r w:rsidR="00D675FE" w:rsidRPr="00363E58">
              <w:rPr>
                <w:rFonts w:ascii="Aptos" w:hAnsi="Aptos"/>
                <w:sz w:val="24"/>
                <w:szCs w:val="24"/>
              </w:rPr>
              <w:t xml:space="preserve"> podejmowanych działań</w:t>
            </w:r>
            <w:r w:rsidR="00951765" w:rsidRPr="00363E58">
              <w:rPr>
                <w:rFonts w:ascii="Aptos" w:hAnsi="Aptos"/>
                <w:sz w:val="24"/>
                <w:szCs w:val="24"/>
              </w:rPr>
              <w:t xml:space="preserve">. W obecnym kształcie trudno ocenić czy planowane nakłady przełożą się na rzeczywiste korzyści dla lokalnego sportu. </w:t>
            </w:r>
          </w:p>
          <w:p w14:paraId="177AB551" w14:textId="2814364B" w:rsidR="00383378" w:rsidRPr="00363E58" w:rsidRDefault="00951765" w:rsidP="001B502E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Koszty realizacji projektu nie zostały oszacowane rzetelnie i kompleksowo.</w:t>
            </w:r>
            <w:r w:rsidR="00D675FE" w:rsidRPr="00363E58">
              <w:rPr>
                <w:rFonts w:ascii="Aptos" w:hAnsi="Aptos"/>
                <w:sz w:val="24"/>
                <w:szCs w:val="24"/>
              </w:rPr>
              <w:t xml:space="preserve"> </w:t>
            </w:r>
            <w:r w:rsidRPr="00363E58">
              <w:rPr>
                <w:rFonts w:ascii="Aptos" w:hAnsi="Aptos"/>
                <w:sz w:val="24"/>
                <w:szCs w:val="24"/>
              </w:rPr>
              <w:t xml:space="preserve">Projekt nie jest możliwy w ciągu jednego roku </w:t>
            </w:r>
            <w:proofErr w:type="spellStart"/>
            <w:r w:rsidRPr="00363E58">
              <w:rPr>
                <w:rFonts w:ascii="Aptos" w:hAnsi="Aptos"/>
                <w:sz w:val="24"/>
                <w:szCs w:val="24"/>
              </w:rPr>
              <w:lastRenderedPageBreak/>
              <w:t>budżetowego.Projekt</w:t>
            </w:r>
            <w:proofErr w:type="spellEnd"/>
            <w:r w:rsidRPr="00363E58">
              <w:rPr>
                <w:rFonts w:ascii="Aptos" w:hAnsi="Aptos"/>
                <w:sz w:val="24"/>
                <w:szCs w:val="24"/>
              </w:rPr>
              <w:t xml:space="preserve"> w dużej mierze jest zbieżny ze Strategią Rozwoju Sportu do 2030 </w:t>
            </w:r>
            <w:r w:rsidR="001E4AB1" w:rsidRPr="00363E58">
              <w:rPr>
                <w:rFonts w:ascii="Aptos" w:hAnsi="Aptos"/>
                <w:sz w:val="24"/>
                <w:szCs w:val="24"/>
              </w:rPr>
              <w:t>(EKS)</w:t>
            </w:r>
          </w:p>
        </w:tc>
      </w:tr>
      <w:tr w:rsidR="00383378" w:rsidRPr="00363E58" w14:paraId="6EEDBF3A" w14:textId="77777777" w:rsidTr="007D32FF">
        <w:tc>
          <w:tcPr>
            <w:tcW w:w="480" w:type="dxa"/>
          </w:tcPr>
          <w:p w14:paraId="764AB278" w14:textId="70BC365E" w:rsidR="00383378" w:rsidRPr="00363E58" w:rsidRDefault="001A5BA9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5" w:type="dxa"/>
            <w:shd w:val="clear" w:color="auto" w:fill="auto"/>
          </w:tcPr>
          <w:p w14:paraId="795DC904" w14:textId="451C3B5D" w:rsidR="00383378" w:rsidRPr="00363E58" w:rsidRDefault="00E53790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PRO.153.5.2026.K</w:t>
            </w:r>
          </w:p>
        </w:tc>
        <w:tc>
          <w:tcPr>
            <w:tcW w:w="4878" w:type="dxa"/>
            <w:shd w:val="clear" w:color="auto" w:fill="auto"/>
          </w:tcPr>
          <w:p w14:paraId="1DF59A3D" w14:textId="01FF1B85" w:rsidR="00383378" w:rsidRPr="00363E58" w:rsidRDefault="00E53790" w:rsidP="007D018F">
            <w:pPr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</w:pPr>
            <w:r w:rsidRPr="00363E58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"Kołobrzeskie Kino na 4 Kółkach" - letnie, nocne kino pod chmurką dla zmotoryzowanych</w:t>
            </w:r>
          </w:p>
        </w:tc>
        <w:tc>
          <w:tcPr>
            <w:tcW w:w="6594" w:type="dxa"/>
            <w:shd w:val="clear" w:color="auto" w:fill="auto"/>
          </w:tcPr>
          <w:p w14:paraId="722ACC55" w14:textId="2BBF8213" w:rsidR="00383378" w:rsidRPr="00363E58" w:rsidRDefault="00666D8F" w:rsidP="00C7027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 xml:space="preserve">Wskazanie, że w projekcie może wziąć udział ok. 50 -100 samochodów nasuwa pytanie o adekwatne miejsce, które mogłoby pomieścić tyle aut. Z pewnością nie mogą być to parkingi o których mowa w projekcie. W sezonie letnim każde miejsce postojowe jest wręcz „na wagę złota”. </w:t>
            </w:r>
            <w:r w:rsidR="00E93E3E" w:rsidRPr="00363E58">
              <w:rPr>
                <w:rFonts w:ascii="Aptos" w:hAnsi="Aptos"/>
                <w:sz w:val="24"/>
                <w:szCs w:val="24"/>
              </w:rPr>
              <w:t>T</w:t>
            </w:r>
            <w:r w:rsidRPr="00363E58">
              <w:rPr>
                <w:rFonts w:ascii="Aptos" w:hAnsi="Aptos"/>
                <w:sz w:val="24"/>
                <w:szCs w:val="24"/>
              </w:rPr>
              <w:t xml:space="preserve">akie ograniczenia w ich korzystaniu  z powodu imprez zawsze rodzi niezadowolenie i szerszą krytykę, tym bardziej gdy chodzi o tereny w części nadmorskiej. Projekt ma dosyć wysoki budżet i zakładając, że będzie wydarzeniem cyklicznym, z roku na rok może generować coraz to większe środki z budżetu Gminy Miasto Kołobrzeg </w:t>
            </w:r>
            <w:r w:rsidR="001E4AB1" w:rsidRPr="00363E58">
              <w:rPr>
                <w:rFonts w:ascii="Aptos" w:hAnsi="Aptos"/>
                <w:sz w:val="24"/>
                <w:szCs w:val="24"/>
              </w:rPr>
              <w:t>(EKS)</w:t>
            </w:r>
          </w:p>
        </w:tc>
      </w:tr>
      <w:tr w:rsidR="00530E07" w:rsidRPr="00363E58" w14:paraId="55AB033D" w14:textId="77777777" w:rsidTr="007D32FF">
        <w:tc>
          <w:tcPr>
            <w:tcW w:w="480" w:type="dxa"/>
          </w:tcPr>
          <w:p w14:paraId="0028DB5F" w14:textId="15880BF2" w:rsidR="00530E07" w:rsidRPr="00363E58" w:rsidRDefault="00530E07" w:rsidP="007D018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1935" w:type="dxa"/>
            <w:shd w:val="clear" w:color="auto" w:fill="auto"/>
          </w:tcPr>
          <w:p w14:paraId="3A747240" w14:textId="00ABE63C" w:rsidR="00530E07" w:rsidRPr="00363E58" w:rsidRDefault="00530E07" w:rsidP="007D018F">
            <w:pPr>
              <w:rPr>
                <w:rFonts w:ascii="Aptos" w:hAnsi="Aptos"/>
                <w:sz w:val="24"/>
                <w:szCs w:val="24"/>
              </w:rPr>
            </w:pPr>
            <w:r w:rsidRPr="00530E07">
              <w:rPr>
                <w:rFonts w:ascii="Aptos" w:hAnsi="Aptos"/>
                <w:sz w:val="24"/>
                <w:szCs w:val="24"/>
              </w:rPr>
              <w:t>PRO.153.9.2026.K</w:t>
            </w:r>
          </w:p>
        </w:tc>
        <w:tc>
          <w:tcPr>
            <w:tcW w:w="4878" w:type="dxa"/>
            <w:shd w:val="clear" w:color="auto" w:fill="auto"/>
          </w:tcPr>
          <w:p w14:paraId="204FD792" w14:textId="7316341E" w:rsidR="00530E07" w:rsidRPr="00363E58" w:rsidRDefault="00530E07" w:rsidP="007D018F">
            <w:pPr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</w:pPr>
            <w:r w:rsidRPr="00530E07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Pomnik "Nimfa Parsęta"</w:t>
            </w:r>
          </w:p>
        </w:tc>
        <w:tc>
          <w:tcPr>
            <w:tcW w:w="6594" w:type="dxa"/>
            <w:shd w:val="clear" w:color="auto" w:fill="auto"/>
          </w:tcPr>
          <w:p w14:paraId="320DC77E" w14:textId="0F30593A" w:rsidR="00530E07" w:rsidRPr="00363E58" w:rsidRDefault="008A0022" w:rsidP="00C7027A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</w:t>
            </w:r>
            <w:r w:rsidR="00530E07" w:rsidRPr="00530E07">
              <w:rPr>
                <w:rFonts w:ascii="Aptos" w:hAnsi="Aptos"/>
                <w:sz w:val="24"/>
                <w:szCs w:val="24"/>
              </w:rPr>
              <w:t xml:space="preserve">egatywnie zaopiniowano </w:t>
            </w:r>
            <w:r w:rsidR="00074FF1">
              <w:rPr>
                <w:rFonts w:ascii="Aptos" w:hAnsi="Aptos"/>
                <w:sz w:val="24"/>
                <w:szCs w:val="24"/>
              </w:rPr>
              <w:t xml:space="preserve">wskazane lokalizacje. Ustawienie pomnika w </w:t>
            </w:r>
            <w:r w:rsidR="00456C88">
              <w:rPr>
                <w:rFonts w:ascii="Aptos" w:hAnsi="Aptos"/>
                <w:sz w:val="24"/>
                <w:szCs w:val="24"/>
              </w:rPr>
              <w:t>okolicy</w:t>
            </w:r>
            <w:r w:rsidR="001D4194">
              <w:rPr>
                <w:rFonts w:ascii="Aptos" w:hAnsi="Aptos"/>
                <w:sz w:val="24"/>
                <w:szCs w:val="24"/>
              </w:rPr>
              <w:t xml:space="preserve"> ratusza przysłoni w części historyczną bryłę zabytkowego obiektu. Umiejscowienie pomnika przy ul. Gierczak w pasie drogowym w pobliżu przejścia dla pieszych, w bezpośrednim sąsiedztwie ścieżki rowerowej stwarzać może realne zagrożenie dla użytkowników pasa drogowego zarówno pieszych jak i rowerzystów. </w:t>
            </w:r>
            <w:r w:rsidR="001D4194" w:rsidRPr="001D4194">
              <w:rPr>
                <w:rFonts w:ascii="Aptos" w:hAnsi="Aptos"/>
                <w:sz w:val="24"/>
                <w:szCs w:val="24"/>
              </w:rPr>
              <w:t xml:space="preserve">Wnioskodawca nie wskazał wymiarów pomnika. </w:t>
            </w:r>
            <w:r w:rsidR="001D4194">
              <w:rPr>
                <w:rFonts w:ascii="Aptos" w:hAnsi="Aptos"/>
                <w:sz w:val="24"/>
                <w:szCs w:val="24"/>
              </w:rPr>
              <w:t xml:space="preserve">Negatywnie oceniono </w:t>
            </w:r>
            <w:r>
              <w:rPr>
                <w:rFonts w:ascii="Aptos" w:hAnsi="Aptos"/>
                <w:sz w:val="24"/>
                <w:szCs w:val="24"/>
              </w:rPr>
              <w:t xml:space="preserve">także </w:t>
            </w:r>
            <w:r w:rsidR="00530E07" w:rsidRPr="00530E07">
              <w:rPr>
                <w:rFonts w:ascii="Aptos" w:hAnsi="Aptos"/>
                <w:sz w:val="24"/>
                <w:szCs w:val="24"/>
              </w:rPr>
              <w:t xml:space="preserve">zakres multimedialny projektu </w:t>
            </w:r>
            <w:r w:rsidR="00530E07">
              <w:rPr>
                <w:rFonts w:ascii="Aptos" w:hAnsi="Aptos"/>
                <w:sz w:val="24"/>
                <w:szCs w:val="24"/>
              </w:rPr>
              <w:t xml:space="preserve"> </w:t>
            </w:r>
            <w:r w:rsidR="00530E07" w:rsidRPr="00530E07">
              <w:rPr>
                <w:rFonts w:ascii="Aptos" w:hAnsi="Aptos"/>
                <w:sz w:val="24"/>
                <w:szCs w:val="24"/>
              </w:rPr>
              <w:t>(UiA)</w:t>
            </w:r>
          </w:p>
        </w:tc>
      </w:tr>
      <w:tr w:rsidR="00383378" w:rsidRPr="00363E58" w14:paraId="2D0AE520" w14:textId="77777777" w:rsidTr="007D32FF">
        <w:tc>
          <w:tcPr>
            <w:tcW w:w="480" w:type="dxa"/>
          </w:tcPr>
          <w:p w14:paraId="6276782A" w14:textId="238F1446" w:rsidR="00383378" w:rsidRPr="00363E58" w:rsidRDefault="00530E07" w:rsidP="007D018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</w:t>
            </w:r>
          </w:p>
        </w:tc>
        <w:tc>
          <w:tcPr>
            <w:tcW w:w="1935" w:type="dxa"/>
            <w:shd w:val="clear" w:color="auto" w:fill="auto"/>
          </w:tcPr>
          <w:p w14:paraId="45A85206" w14:textId="1F823964" w:rsidR="00383378" w:rsidRPr="00363E58" w:rsidRDefault="00C8325A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PRO.153.12.2026.K</w:t>
            </w:r>
          </w:p>
        </w:tc>
        <w:tc>
          <w:tcPr>
            <w:tcW w:w="4878" w:type="dxa"/>
            <w:shd w:val="clear" w:color="auto" w:fill="auto"/>
          </w:tcPr>
          <w:p w14:paraId="655F84FF" w14:textId="69D37A04" w:rsidR="00383378" w:rsidRPr="00363E58" w:rsidRDefault="00C8325A" w:rsidP="007D018F">
            <w:pPr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</w:pPr>
            <w:r w:rsidRPr="00363E58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Napis I</w:t>
            </w:r>
            <w:r w:rsidRPr="00363E58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❤</w:t>
            </w:r>
            <w:r w:rsidRPr="00363E58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️Ko</w:t>
            </w:r>
            <w:r w:rsidRPr="00363E58">
              <w:rPr>
                <w:rStyle w:val="Pogrubienie"/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⚓</w:t>
            </w:r>
            <w:r w:rsidRPr="00363E58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obrzeg</w:t>
            </w:r>
          </w:p>
        </w:tc>
        <w:tc>
          <w:tcPr>
            <w:tcW w:w="6594" w:type="dxa"/>
            <w:shd w:val="clear" w:color="auto" w:fill="auto"/>
          </w:tcPr>
          <w:p w14:paraId="338960A7" w14:textId="77777777" w:rsidR="00C8325A" w:rsidRPr="00363E58" w:rsidRDefault="00C8325A" w:rsidP="00C8325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 xml:space="preserve">Negatywna ocena formalna/brak możliwości odwołania. </w:t>
            </w:r>
          </w:p>
          <w:p w14:paraId="1C7E1C28" w14:textId="52CA3CC0" w:rsidR="00383378" w:rsidRPr="00363E58" w:rsidRDefault="00C8325A" w:rsidP="00C8325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Brak wymaganej liczby mieszkańców popierających projekt (PRO)</w:t>
            </w:r>
          </w:p>
        </w:tc>
      </w:tr>
      <w:tr w:rsidR="003423E2" w:rsidRPr="00363E58" w14:paraId="5704486F" w14:textId="77777777" w:rsidTr="007D32FF">
        <w:tc>
          <w:tcPr>
            <w:tcW w:w="480" w:type="dxa"/>
          </w:tcPr>
          <w:p w14:paraId="74F1DFC7" w14:textId="403DCCC1" w:rsidR="003423E2" w:rsidRPr="00363E58" w:rsidRDefault="00530E07" w:rsidP="007D018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6</w:t>
            </w:r>
          </w:p>
        </w:tc>
        <w:tc>
          <w:tcPr>
            <w:tcW w:w="1935" w:type="dxa"/>
            <w:shd w:val="clear" w:color="auto" w:fill="auto"/>
          </w:tcPr>
          <w:p w14:paraId="7E22D558" w14:textId="35879850" w:rsidR="003423E2" w:rsidRPr="00363E58" w:rsidRDefault="003423E2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PRO.153.14.2026.K</w:t>
            </w:r>
          </w:p>
        </w:tc>
        <w:tc>
          <w:tcPr>
            <w:tcW w:w="4878" w:type="dxa"/>
            <w:shd w:val="clear" w:color="auto" w:fill="auto"/>
          </w:tcPr>
          <w:p w14:paraId="195F7B25" w14:textId="6D53EC44" w:rsidR="003423E2" w:rsidRPr="00363E58" w:rsidRDefault="003423E2" w:rsidP="007D018F">
            <w:pPr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</w:pPr>
            <w:r w:rsidRPr="00363E58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Uporządkowanie Stawu Stokrotka (koszenie i karczowanie traw, oczyszczenie dna stawku, sprzątanie terenu wokół stawku)</w:t>
            </w:r>
          </w:p>
        </w:tc>
        <w:tc>
          <w:tcPr>
            <w:tcW w:w="6594" w:type="dxa"/>
            <w:shd w:val="clear" w:color="auto" w:fill="auto"/>
          </w:tcPr>
          <w:p w14:paraId="7F03FCC0" w14:textId="3C1A43F5" w:rsidR="003423E2" w:rsidRPr="00363E58" w:rsidRDefault="00363E58" w:rsidP="00C8325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 xml:space="preserve">Mając na uwadze brak inwentaryzacji przyrodniczej, ryzyko występowania gatunków chronionych, konieczność przeprowadzenia procedur środowiskowych oraz ograniczenia czasowe wynikające z ochrony przyrody, projekt zostaje oceniony negatywnie. Realizacja zadania w </w:t>
            </w:r>
            <w:r w:rsidRPr="00363E58">
              <w:rPr>
                <w:rFonts w:ascii="Aptos" w:hAnsi="Aptos"/>
                <w:sz w:val="24"/>
                <w:szCs w:val="24"/>
              </w:rPr>
              <w:lastRenderedPageBreak/>
              <w:t>sposób zgodny i bezpieczny dla środowiska nie jest możliwa do przeprowadzenia w ramach jednego roku budżetowego bez wcześniejszego przygotowania dokumentacji przyrodniczej i środowiskowej. Koszt samego czyszczenia dna stawu (bez wskazania metody) przekracza koszt wskazany w projekcie (WSiO)</w:t>
            </w:r>
          </w:p>
        </w:tc>
      </w:tr>
      <w:tr w:rsidR="003423E2" w:rsidRPr="00363E58" w14:paraId="4F0F3710" w14:textId="77777777" w:rsidTr="007D32FF">
        <w:tc>
          <w:tcPr>
            <w:tcW w:w="480" w:type="dxa"/>
          </w:tcPr>
          <w:p w14:paraId="46F7CE6C" w14:textId="5897EAE3" w:rsidR="003423E2" w:rsidRPr="00363E58" w:rsidRDefault="00530E07" w:rsidP="007D018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7</w:t>
            </w:r>
          </w:p>
        </w:tc>
        <w:tc>
          <w:tcPr>
            <w:tcW w:w="1935" w:type="dxa"/>
            <w:shd w:val="clear" w:color="auto" w:fill="auto"/>
          </w:tcPr>
          <w:p w14:paraId="2BB6DC27" w14:textId="4D557647" w:rsidR="003423E2" w:rsidRPr="00363E58" w:rsidRDefault="003423E2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PRO.153.15.2026.K</w:t>
            </w:r>
          </w:p>
        </w:tc>
        <w:tc>
          <w:tcPr>
            <w:tcW w:w="4878" w:type="dxa"/>
            <w:shd w:val="clear" w:color="auto" w:fill="auto"/>
          </w:tcPr>
          <w:p w14:paraId="2128929F" w14:textId="60D3AEFD" w:rsidR="003423E2" w:rsidRPr="00363E58" w:rsidRDefault="003423E2" w:rsidP="007D018F">
            <w:pPr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</w:pPr>
            <w:r w:rsidRPr="00363E58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ZIELONA ŚCIEŻKA ZA LOFTEM - rewitalizacja alejki spacerowej w Podczelu</w:t>
            </w:r>
          </w:p>
        </w:tc>
        <w:tc>
          <w:tcPr>
            <w:tcW w:w="6594" w:type="dxa"/>
            <w:shd w:val="clear" w:color="auto" w:fill="auto"/>
          </w:tcPr>
          <w:p w14:paraId="2C8D980F" w14:textId="424A8CC2" w:rsidR="003423E2" w:rsidRPr="00363E58" w:rsidRDefault="00363E58" w:rsidP="00C8325A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Brak opracowań środowiskowych (WSiO)</w:t>
            </w:r>
          </w:p>
        </w:tc>
      </w:tr>
      <w:tr w:rsidR="00383378" w:rsidRPr="00363E58" w14:paraId="1B80630D" w14:textId="77777777" w:rsidTr="007D32FF">
        <w:tc>
          <w:tcPr>
            <w:tcW w:w="480" w:type="dxa"/>
          </w:tcPr>
          <w:p w14:paraId="1655D74D" w14:textId="41E25332" w:rsidR="00383378" w:rsidRPr="00363E58" w:rsidRDefault="00530E07" w:rsidP="007D018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8</w:t>
            </w:r>
          </w:p>
        </w:tc>
        <w:tc>
          <w:tcPr>
            <w:tcW w:w="1935" w:type="dxa"/>
            <w:shd w:val="clear" w:color="auto" w:fill="auto"/>
          </w:tcPr>
          <w:p w14:paraId="0C199856" w14:textId="03D321DB" w:rsidR="00383378" w:rsidRPr="00363E58" w:rsidRDefault="00422E14" w:rsidP="007D018F">
            <w:pPr>
              <w:rPr>
                <w:rFonts w:ascii="Aptos" w:hAnsi="Aptos"/>
                <w:sz w:val="24"/>
                <w:szCs w:val="24"/>
              </w:rPr>
            </w:pPr>
            <w:r w:rsidRPr="00363E58">
              <w:rPr>
                <w:rFonts w:ascii="Aptos" w:hAnsi="Aptos"/>
                <w:sz w:val="24"/>
                <w:szCs w:val="24"/>
              </w:rPr>
              <w:t>PRO.153.17.2026.K</w:t>
            </w:r>
          </w:p>
        </w:tc>
        <w:tc>
          <w:tcPr>
            <w:tcW w:w="4878" w:type="dxa"/>
            <w:shd w:val="clear" w:color="auto" w:fill="auto"/>
          </w:tcPr>
          <w:p w14:paraId="17A1FBE3" w14:textId="77777777" w:rsidR="00383378" w:rsidRPr="00363E58" w:rsidRDefault="00F7526D" w:rsidP="007D018F">
            <w:pPr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</w:pPr>
            <w:r w:rsidRPr="00363E58"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  <w:t>KOŁOBRZESKA TĘŻNIA SOLANKOWA</w:t>
            </w:r>
          </w:p>
          <w:p w14:paraId="4CF5D04A" w14:textId="5286C78B" w:rsidR="003423E2" w:rsidRPr="00363E58" w:rsidRDefault="003423E2" w:rsidP="007D018F">
            <w:pPr>
              <w:rPr>
                <w:rStyle w:val="Pogrubienie"/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94" w:type="dxa"/>
            <w:shd w:val="clear" w:color="auto" w:fill="auto"/>
          </w:tcPr>
          <w:p w14:paraId="0D4497CE" w14:textId="5D2F63C8" w:rsidR="00383378" w:rsidRPr="00363E58" w:rsidRDefault="00A56105" w:rsidP="00383378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Wskazana we wniosku lokal</w:t>
            </w:r>
            <w:r w:rsidR="00530E07">
              <w:rPr>
                <w:rFonts w:ascii="Aptos" w:hAnsi="Aptos"/>
                <w:sz w:val="24"/>
                <w:szCs w:val="24"/>
              </w:rPr>
              <w:t xml:space="preserve">izacja – Plac Słowiański znajduje się na terenie wpisanym </w:t>
            </w:r>
            <w:r>
              <w:rPr>
                <w:rFonts w:ascii="Aptos" w:hAnsi="Aptos"/>
                <w:sz w:val="24"/>
                <w:szCs w:val="24"/>
              </w:rPr>
              <w:t xml:space="preserve">do rejestru zabytków województwa zachodniopomorskiego. Nowe zagospodarowanie terenu skweru poprzez dodawanie nowych obiektów, utwardzonych ciągów pieszych kosztem zieleni nie jest historycznie uzasadnione. Projekt jest niedoszacowany, nie uwzględnia kosztów pozyskania i zastosowania solanki. Koszty utrzymania obiektu w ramach jednego sezonu mogą osiągnąć ponad 100 tysięcy złotych. Dodatkowo koszt przebudowania systemu nawadniającego. Całość projektu może osiągnąć poziom powyżej wartości maksymalnej budżetu obywatelskiego. </w:t>
            </w:r>
            <w:r w:rsidR="0006750C">
              <w:rPr>
                <w:rFonts w:ascii="Aptos" w:hAnsi="Aptos"/>
                <w:sz w:val="24"/>
                <w:szCs w:val="24"/>
              </w:rPr>
              <w:t>Ponadto tężnia solankowa, zgodnie z Ustawą o lecznictwie uzdrowiskowym, jest traktowana j</w:t>
            </w:r>
            <w:bookmarkStart w:id="1" w:name="_GoBack"/>
            <w:bookmarkEnd w:id="1"/>
            <w:r w:rsidR="0006750C">
              <w:rPr>
                <w:rFonts w:ascii="Aptos" w:hAnsi="Aptos"/>
                <w:sz w:val="24"/>
                <w:szCs w:val="24"/>
              </w:rPr>
              <w:t xml:space="preserve">ako urządzenia lecznictwa uzdrowiskowego i co do zasady powinna być lokalizowana </w:t>
            </w:r>
            <w:r w:rsidR="00074FF1">
              <w:rPr>
                <w:rFonts w:ascii="Aptos" w:hAnsi="Aptos"/>
                <w:sz w:val="24"/>
                <w:szCs w:val="24"/>
              </w:rPr>
              <w:t>w strefie ochrony uzdrowiskowej</w:t>
            </w:r>
            <w:r w:rsidR="0006750C">
              <w:rPr>
                <w:rFonts w:ascii="Aptos" w:hAnsi="Aptos"/>
                <w:sz w:val="24"/>
                <w:szCs w:val="24"/>
              </w:rPr>
              <w:t xml:space="preserve">, </w:t>
            </w:r>
            <w:r w:rsidR="00530E07">
              <w:rPr>
                <w:rFonts w:ascii="Aptos" w:hAnsi="Aptos"/>
                <w:sz w:val="24"/>
                <w:szCs w:val="24"/>
              </w:rPr>
              <w:t xml:space="preserve">przede wszystkim w strefie „A”. </w:t>
            </w:r>
            <w:r w:rsidR="00BB5CF1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="00BB5CF1">
              <w:rPr>
                <w:rFonts w:ascii="Aptos" w:hAnsi="Aptos"/>
                <w:sz w:val="24"/>
                <w:szCs w:val="24"/>
              </w:rPr>
              <w:t>WSiO</w:t>
            </w:r>
            <w:proofErr w:type="spellEnd"/>
            <w:r w:rsidR="00BB5CF1">
              <w:rPr>
                <w:rFonts w:ascii="Aptos" w:hAnsi="Aptos"/>
                <w:sz w:val="24"/>
                <w:szCs w:val="24"/>
              </w:rPr>
              <w:t>, MKZ)</w:t>
            </w:r>
          </w:p>
        </w:tc>
      </w:tr>
    </w:tbl>
    <w:p w14:paraId="6083BC1F" w14:textId="77777777" w:rsidR="006C759B" w:rsidRPr="00363E58" w:rsidRDefault="006C759B" w:rsidP="006C759B">
      <w:pPr>
        <w:rPr>
          <w:rFonts w:ascii="Aptos" w:hAnsi="Aptos"/>
          <w:sz w:val="24"/>
          <w:szCs w:val="24"/>
        </w:rPr>
      </w:pPr>
    </w:p>
    <w:sectPr w:rsidR="006C759B" w:rsidRPr="00363E58" w:rsidSect="0054264B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807F5" w14:textId="77777777" w:rsidR="001A6389" w:rsidRDefault="001A6389" w:rsidP="00424FAA">
      <w:pPr>
        <w:spacing w:after="0" w:line="240" w:lineRule="auto"/>
      </w:pPr>
      <w:r>
        <w:separator/>
      </w:r>
    </w:p>
  </w:endnote>
  <w:endnote w:type="continuationSeparator" w:id="0">
    <w:p w14:paraId="768269D1" w14:textId="77777777" w:rsidR="001A6389" w:rsidRDefault="001A6389" w:rsidP="0042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20314"/>
      <w:docPartObj>
        <w:docPartGallery w:val="Page Numbers (Bottom of Page)"/>
        <w:docPartUnique/>
      </w:docPartObj>
    </w:sdtPr>
    <w:sdtEndPr/>
    <w:sdtContent>
      <w:p w14:paraId="5486A254" w14:textId="6F7B4878" w:rsidR="00424FAA" w:rsidRDefault="00424F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C88">
          <w:rPr>
            <w:noProof/>
          </w:rPr>
          <w:t>3</w:t>
        </w:r>
        <w:r>
          <w:fldChar w:fldCharType="end"/>
        </w:r>
      </w:p>
    </w:sdtContent>
  </w:sdt>
  <w:p w14:paraId="4C0E6301" w14:textId="77777777" w:rsidR="00424FAA" w:rsidRDefault="0042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0E723" w14:textId="77777777" w:rsidR="001A6389" w:rsidRDefault="001A6389" w:rsidP="00424FAA">
      <w:pPr>
        <w:spacing w:after="0" w:line="240" w:lineRule="auto"/>
      </w:pPr>
      <w:r>
        <w:separator/>
      </w:r>
    </w:p>
  </w:footnote>
  <w:footnote w:type="continuationSeparator" w:id="0">
    <w:p w14:paraId="5E10D519" w14:textId="77777777" w:rsidR="001A6389" w:rsidRDefault="001A6389" w:rsidP="0042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875F" w14:textId="4F9EFCA1" w:rsidR="008F3A5D" w:rsidRPr="00363E58" w:rsidRDefault="008F3A5D">
    <w:pPr>
      <w:pStyle w:val="Nagwek"/>
      <w:rPr>
        <w:rFonts w:ascii="Aptos" w:hAnsi="Aptos"/>
        <w:b/>
        <w:bCs/>
        <w:sz w:val="24"/>
        <w:szCs w:val="24"/>
      </w:rPr>
    </w:pPr>
    <w:r w:rsidRPr="00363E58">
      <w:rPr>
        <w:rFonts w:ascii="Aptos" w:hAnsi="Aptos"/>
        <w:b/>
        <w:bCs/>
        <w:sz w:val="24"/>
        <w:szCs w:val="24"/>
      </w:rPr>
      <w:t>Lista projektów niedopuszczonych do głosowania w ramach Budżetu Obywatelskiego na 202</w:t>
    </w:r>
    <w:r w:rsidR="00D14C0F" w:rsidRPr="00363E58">
      <w:rPr>
        <w:rFonts w:ascii="Aptos" w:hAnsi="Aptos"/>
        <w:b/>
        <w:bCs/>
        <w:sz w:val="24"/>
        <w:szCs w:val="24"/>
      </w:rPr>
      <w:t>7</w:t>
    </w:r>
    <w:r w:rsidRPr="00363E58">
      <w:rPr>
        <w:rFonts w:ascii="Aptos" w:hAnsi="Aptos"/>
        <w:b/>
        <w:bCs/>
        <w:sz w:val="24"/>
        <w:szCs w:val="24"/>
      </w:rPr>
      <w:t xml:space="preserve"> rok wraz z uzasadnieniem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4B"/>
    <w:rsid w:val="000154BA"/>
    <w:rsid w:val="0003014A"/>
    <w:rsid w:val="00036C8D"/>
    <w:rsid w:val="00057393"/>
    <w:rsid w:val="00062D38"/>
    <w:rsid w:val="00066D8C"/>
    <w:rsid w:val="0006750C"/>
    <w:rsid w:val="00072126"/>
    <w:rsid w:val="00074FF1"/>
    <w:rsid w:val="00080160"/>
    <w:rsid w:val="00081B5C"/>
    <w:rsid w:val="000A3E69"/>
    <w:rsid w:val="000C7E09"/>
    <w:rsid w:val="000D0B16"/>
    <w:rsid w:val="000F0723"/>
    <w:rsid w:val="00116952"/>
    <w:rsid w:val="00126C82"/>
    <w:rsid w:val="00197E14"/>
    <w:rsid w:val="001A5BA9"/>
    <w:rsid w:val="001A6389"/>
    <w:rsid w:val="001B11DF"/>
    <w:rsid w:val="001B502E"/>
    <w:rsid w:val="001C0B11"/>
    <w:rsid w:val="001D24D5"/>
    <w:rsid w:val="001D4194"/>
    <w:rsid w:val="001D5A4C"/>
    <w:rsid w:val="001E4AB1"/>
    <w:rsid w:val="001F2E03"/>
    <w:rsid w:val="00203C1E"/>
    <w:rsid w:val="00224737"/>
    <w:rsid w:val="0023461D"/>
    <w:rsid w:val="00243B94"/>
    <w:rsid w:val="00260280"/>
    <w:rsid w:val="00290E3E"/>
    <w:rsid w:val="002C0A52"/>
    <w:rsid w:val="002C3372"/>
    <w:rsid w:val="002D3F9B"/>
    <w:rsid w:val="002F531A"/>
    <w:rsid w:val="00300E00"/>
    <w:rsid w:val="003423E2"/>
    <w:rsid w:val="00342E80"/>
    <w:rsid w:val="00356963"/>
    <w:rsid w:val="00361625"/>
    <w:rsid w:val="00362F82"/>
    <w:rsid w:val="00363E58"/>
    <w:rsid w:val="00383378"/>
    <w:rsid w:val="003A0DFD"/>
    <w:rsid w:val="003C4E09"/>
    <w:rsid w:val="003E4F6B"/>
    <w:rsid w:val="00410D92"/>
    <w:rsid w:val="00422E14"/>
    <w:rsid w:val="00424FAA"/>
    <w:rsid w:val="0044361A"/>
    <w:rsid w:val="00456C88"/>
    <w:rsid w:val="00477A11"/>
    <w:rsid w:val="00487868"/>
    <w:rsid w:val="00501F6A"/>
    <w:rsid w:val="00515140"/>
    <w:rsid w:val="00530E07"/>
    <w:rsid w:val="00531828"/>
    <w:rsid w:val="00541A6C"/>
    <w:rsid w:val="0054264B"/>
    <w:rsid w:val="00571E12"/>
    <w:rsid w:val="0059354B"/>
    <w:rsid w:val="005C36EE"/>
    <w:rsid w:val="005F03C7"/>
    <w:rsid w:val="005F2128"/>
    <w:rsid w:val="005F6B11"/>
    <w:rsid w:val="006033ED"/>
    <w:rsid w:val="00653A34"/>
    <w:rsid w:val="00661273"/>
    <w:rsid w:val="00664561"/>
    <w:rsid w:val="00666D8F"/>
    <w:rsid w:val="00667800"/>
    <w:rsid w:val="00681ED0"/>
    <w:rsid w:val="00684B26"/>
    <w:rsid w:val="006A24DD"/>
    <w:rsid w:val="006A5FF5"/>
    <w:rsid w:val="006C759B"/>
    <w:rsid w:val="006F257A"/>
    <w:rsid w:val="007409E8"/>
    <w:rsid w:val="007554F3"/>
    <w:rsid w:val="00761B8B"/>
    <w:rsid w:val="0077694C"/>
    <w:rsid w:val="00776C4F"/>
    <w:rsid w:val="007B687F"/>
    <w:rsid w:val="007D018F"/>
    <w:rsid w:val="007D2A9F"/>
    <w:rsid w:val="007D32FF"/>
    <w:rsid w:val="007F6867"/>
    <w:rsid w:val="00822E14"/>
    <w:rsid w:val="0083001C"/>
    <w:rsid w:val="008A0022"/>
    <w:rsid w:val="008D3906"/>
    <w:rsid w:val="008E61D6"/>
    <w:rsid w:val="008F3A5D"/>
    <w:rsid w:val="0093029C"/>
    <w:rsid w:val="00951765"/>
    <w:rsid w:val="00952DF8"/>
    <w:rsid w:val="0096665B"/>
    <w:rsid w:val="00982F8D"/>
    <w:rsid w:val="00984670"/>
    <w:rsid w:val="009846AE"/>
    <w:rsid w:val="009A6FE6"/>
    <w:rsid w:val="009B2796"/>
    <w:rsid w:val="009B546A"/>
    <w:rsid w:val="009E39E8"/>
    <w:rsid w:val="009E5B20"/>
    <w:rsid w:val="009E6E0B"/>
    <w:rsid w:val="00A00FAF"/>
    <w:rsid w:val="00A56105"/>
    <w:rsid w:val="00A60270"/>
    <w:rsid w:val="00AA2627"/>
    <w:rsid w:val="00B106CA"/>
    <w:rsid w:val="00B2394B"/>
    <w:rsid w:val="00B37DD3"/>
    <w:rsid w:val="00B7158B"/>
    <w:rsid w:val="00B84B45"/>
    <w:rsid w:val="00BA2544"/>
    <w:rsid w:val="00BB0D09"/>
    <w:rsid w:val="00BB3410"/>
    <w:rsid w:val="00BB5CF1"/>
    <w:rsid w:val="00BD33A6"/>
    <w:rsid w:val="00BD48A2"/>
    <w:rsid w:val="00BE198B"/>
    <w:rsid w:val="00BE50AF"/>
    <w:rsid w:val="00C06905"/>
    <w:rsid w:val="00C4002F"/>
    <w:rsid w:val="00C40A6B"/>
    <w:rsid w:val="00C42A42"/>
    <w:rsid w:val="00C7027A"/>
    <w:rsid w:val="00C8325A"/>
    <w:rsid w:val="00C94BEB"/>
    <w:rsid w:val="00CC0621"/>
    <w:rsid w:val="00CD3842"/>
    <w:rsid w:val="00CD609A"/>
    <w:rsid w:val="00D00953"/>
    <w:rsid w:val="00D14C0F"/>
    <w:rsid w:val="00D240B7"/>
    <w:rsid w:val="00D25126"/>
    <w:rsid w:val="00D31782"/>
    <w:rsid w:val="00D41B12"/>
    <w:rsid w:val="00D4453E"/>
    <w:rsid w:val="00D675FE"/>
    <w:rsid w:val="00D728E3"/>
    <w:rsid w:val="00D94987"/>
    <w:rsid w:val="00E245BC"/>
    <w:rsid w:val="00E36474"/>
    <w:rsid w:val="00E53790"/>
    <w:rsid w:val="00E821A2"/>
    <w:rsid w:val="00E93E3E"/>
    <w:rsid w:val="00EA349A"/>
    <w:rsid w:val="00EB0F85"/>
    <w:rsid w:val="00EC730F"/>
    <w:rsid w:val="00ED0167"/>
    <w:rsid w:val="00F152CC"/>
    <w:rsid w:val="00F30726"/>
    <w:rsid w:val="00F35E78"/>
    <w:rsid w:val="00F37390"/>
    <w:rsid w:val="00F4763D"/>
    <w:rsid w:val="00F6198E"/>
    <w:rsid w:val="00F62ECE"/>
    <w:rsid w:val="00F7526D"/>
    <w:rsid w:val="00F8052F"/>
    <w:rsid w:val="00F955D1"/>
    <w:rsid w:val="00F9783D"/>
    <w:rsid w:val="00FC03E8"/>
    <w:rsid w:val="00FC7642"/>
    <w:rsid w:val="00FD256A"/>
    <w:rsid w:val="00FD3502"/>
    <w:rsid w:val="00FD431A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E6863"/>
  <w15:chartTrackingRefBased/>
  <w15:docId w15:val="{804B815E-299E-4F7E-9D37-969F9D4A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5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7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FAA"/>
  </w:style>
  <w:style w:type="paragraph" w:styleId="Stopka">
    <w:name w:val="footer"/>
    <w:basedOn w:val="Normalny"/>
    <w:link w:val="StopkaZnak"/>
    <w:uiPriority w:val="99"/>
    <w:unhideWhenUsed/>
    <w:rsid w:val="0042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FAA"/>
  </w:style>
  <w:style w:type="character" w:styleId="Pogrubienie">
    <w:name w:val="Strong"/>
    <w:basedOn w:val="Domylnaczcionkaakapitu"/>
    <w:uiPriority w:val="22"/>
    <w:qFormat/>
    <w:rsid w:val="00D94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jmiroslaw</dc:creator>
  <cp:keywords/>
  <dc:description/>
  <cp:lastModifiedBy>jpawlak</cp:lastModifiedBy>
  <cp:revision>110</cp:revision>
  <cp:lastPrinted>2026-06-03T08:14:00Z</cp:lastPrinted>
  <dcterms:created xsi:type="dcterms:W3CDTF">2019-09-09T06:25:00Z</dcterms:created>
  <dcterms:modified xsi:type="dcterms:W3CDTF">2026-06-03T08:14:00Z</dcterms:modified>
</cp:coreProperties>
</file>